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MODELO DE PEDIDO DE INTERNAÇÃO</w:t>
      </w:r>
    </w:p>
    <w:p>
      <w:pPr>
        <w:spacing w:after="120"/>
      </w:pPr>
      <w:r>
        <w:rPr>
          <w:color w:val="555555"/>
          <w:sz w:val="20"/>
          <w:szCs w:val="20"/>
        </w:rPr>
        <w:t xml:space="preserve">Emergência → internação clínica adulta · Santa Luzia / Santa Helena – Rede D’Or</w:t>
      </w:r>
    </w:p>
    <w:p>
      <w:pPr>
        <w:shd w:fill="FBF3E4" w:val="clear"/>
        <w:spacing w:after="160"/>
      </w:pPr>
      <w:r>
        <w:rPr>
          <w:sz w:val="20"/>
          <w:szCs w:val="20"/>
        </w:rPr>
        <w:t xml:space="preserve">Preencha todos os campos. Onde faltar informação, deixe escrito </w:t>
      </w:r>
      <w:r>
        <w:rPr>
          <w:b/>
          <w:bCs/>
          <w:color w:val="C00000"/>
          <w:sz w:val="20"/>
          <w:szCs w:val="20"/>
        </w:rPr>
        <w:t xml:space="preserve">[FALTA INFORMAÇÃO]</w:t>
      </w:r>
      <w:r>
        <w:rPr>
          <w:sz w:val="20"/>
          <w:szCs w:val="20"/>
        </w:rPr>
        <w:t xml:space="preserve"> até completar — campo em branco vira glosa. Só existem dois níveis: UTI ou apartamento; monitorização contínua = UTI.</w:t>
      </w:r>
    </w:p>
    <w:p>
      <w:pPr>
        <w:spacing w:after="20" w:before="80"/>
      </w:pPr>
      <w:r>
        <w:rPr>
          <w:b/>
          <w:bCs/>
          <w:sz w:val="22"/>
          <w:szCs w:val="22"/>
        </w:rPr>
        <w:t xml:space="preserve">INTERNAÇÃO EM LEITO DE </w:t>
      </w:r>
      <w:r>
        <w:rPr>
          <w:b/>
          <w:bCs/>
          <w:sz w:val="22"/>
          <w:szCs w:val="22"/>
        </w:rPr>
        <w:t xml:space="preserve">APARTAMENTO</w:t>
      </w:r>
      <w:r>
        <w:rPr>
          <w:sz w:val="22"/>
          <w:szCs w:val="22"/>
        </w:rPr>
        <w:t xml:space="preserve"> / </w:t>
      </w:r>
      <w:r>
        <w:rPr>
          <w:b/>
          <w:bCs/>
          <w:sz w:val="22"/>
          <w:szCs w:val="22"/>
        </w:rPr>
        <w:t xml:space="preserve">TERAPIA INTENSIVA (UTI)</w:t>
      </w:r>
    </w:p>
    <w:p>
      <w:pPr>
        <w:spacing w:after="100"/>
        <w:ind w:left="120"/>
      </w:pPr>
      <w:r>
        <w:rPr>
          <w:i/>
          <w:iCs/>
          <w:color w:val="555555"/>
          <w:sz w:val="18"/>
          <w:szCs w:val="18"/>
        </w:rPr>
        <w:t xml:space="preserve">(escolher o nível conforme a decisão)</w:t>
      </w:r>
    </w:p>
    <w:p>
      <w:pPr>
        <w:spacing w:after="60"/>
      </w:pPr>
      <w:r>
        <w:rPr>
          <w:b/>
          <w:bCs/>
          <w:sz w:val="22"/>
          <w:szCs w:val="22"/>
        </w:rPr>
        <w:t xml:space="preserve">Hospital </w:t>
      </w:r>
      <w:r>
        <w:rPr>
          <w:b/>
          <w:bCs/>
          <w:sz w:val="22"/>
          <w:szCs w:val="22"/>
        </w:rPr>
        <w:t xml:space="preserve">Santa Luzia / Santa Helena</w:t>
      </w:r>
      <w:r>
        <w:rPr>
          <w:sz w:val="22"/>
          <w:szCs w:val="22"/>
        </w:rPr>
        <w:t xml:space="preserve"> – Rede D’Or</w:t>
      </w:r>
    </w:p>
    <w:p>
      <w:pPr>
        <w:spacing w:after="100"/>
        <w:ind w:left="120"/>
      </w:pPr>
      <w:r>
        <w:rPr>
          <w:i/>
          <w:iCs/>
          <w:color w:val="555555"/>
          <w:sz w:val="18"/>
          <w:szCs w:val="18"/>
        </w:rPr>
        <w:t xml:space="preserve">(escolher conforme a origem da solicitação)</w:t>
      </w:r>
    </w:p>
    <w:p>
      <w:pPr>
        <w:spacing w:after="40" w:before="120"/>
      </w:pPr>
      <w:r>
        <w:rPr>
          <w:b/>
          <w:bCs/>
          <w:sz w:val="21"/>
          <w:szCs w:val="21"/>
        </w:rPr>
        <w:t xml:space="preserve">INICIAIS: </w:t>
      </w:r>
    </w:p>
    <w:p>
      <w:pPr>
        <w:spacing w:after="60"/>
      </w:pPr>
      <w:r>
        <w:rPr>
          <w:b/>
          <w:bCs/>
          <w:sz w:val="21"/>
          <w:szCs w:val="21"/>
        </w:rPr>
        <w:t xml:space="preserve">IDADE: </w:t>
      </w:r>
      <w:r>
        <w:rPr>
          <w:sz w:val="21"/>
          <w:szCs w:val="21"/>
        </w:rPr>
        <w:t xml:space="preserve">___ anos</w:t>
      </w:r>
    </w:p>
    <w:p>
      <w:pPr>
        <w:spacing w:after="60"/>
      </w:pPr>
      <w:r>
        <w:rPr>
          <w:b/>
          <w:bCs/>
          <w:sz w:val="21"/>
          <w:szCs w:val="21"/>
        </w:rPr>
        <w:t xml:space="preserve">ATENDIMENTO: </w:t>
      </w:r>
    </w:p>
    <w:p>
      <w:pPr>
        <w:spacing w:after="60"/>
      </w:pPr>
      <w:r>
        <w:rPr>
          <w:b/>
          <w:bCs/>
          <w:sz w:val="21"/>
          <w:szCs w:val="21"/>
        </w:rPr>
        <w:t xml:space="preserve">CONVÊNIO: </w:t>
      </w:r>
    </w:p>
    <w:p>
      <w:pPr>
        <w:spacing w:after="60" w:before="200"/>
      </w:pPr>
      <w:r>
        <w:rPr>
          <w:b/>
          <w:bCs/>
          <w:color w:val="0A2342"/>
          <w:sz w:val="22"/>
          <w:szCs w:val="22"/>
        </w:rPr>
        <w:t xml:space="preserve"># COMORBIDADES:</w:t>
      </w:r>
    </w:p>
    <w:p>
      <w:pPr>
        <w:spacing w:after="60"/>
      </w:pPr>
      <w:r>
        <w:rPr>
          <w:sz w:val="21"/>
          <w:szCs w:val="21"/>
        </w:rPr>
        <w:t xml:space="preserve"/>
      </w:r>
    </w:p>
    <w:p>
      <w:pPr>
        <w:spacing w:after="60" w:before="200"/>
      </w:pPr>
      <w:r>
        <w:rPr>
          <w:b/>
          <w:bCs/>
          <w:color w:val="0A2342"/>
          <w:sz w:val="22"/>
          <w:szCs w:val="22"/>
        </w:rPr>
        <w:t xml:space="preserve"># MEDICAMENTOS DE USO CONTÍNUO:</w:t>
      </w:r>
    </w:p>
    <w:p>
      <w:pPr>
        <w:spacing w:after="100"/>
        <w:ind w:left="120"/>
      </w:pPr>
      <w:r>
        <w:rPr>
          <w:i/>
          <w:iCs/>
          <w:color w:val="555555"/>
          <w:sz w:val="18"/>
          <w:szCs w:val="18"/>
        </w:rPr>
        <w:t xml:space="preserve">Uma por linha, no formato:  Medicamento 500 mg 1-0-0   //   Medicamento 1 g 0-0-1</w:t>
      </w:r>
    </w:p>
    <w:p>
      <w:pPr>
        <w:spacing w:after="60" w:before="200"/>
      </w:pPr>
      <w:r>
        <w:rPr>
          <w:b/>
          <w:bCs/>
          <w:color w:val="0A2342"/>
          <w:sz w:val="22"/>
          <w:szCs w:val="22"/>
        </w:rPr>
        <w:t xml:space="preserve"># QUEIXA PRINCIPAL:</w:t>
      </w:r>
    </w:p>
    <w:p>
      <w:pPr>
        <w:spacing w:after="60"/>
      </w:pPr>
      <w:r>
        <w:rPr>
          <w:sz w:val="21"/>
          <w:szCs w:val="21"/>
        </w:rPr>
        <w:t xml:space="preserve"/>
      </w:r>
    </w:p>
    <w:p>
      <w:pPr>
        <w:spacing w:after="60" w:before="200"/>
      </w:pPr>
      <w:r>
        <w:rPr>
          <w:b/>
          <w:bCs/>
          <w:color w:val="0A2342"/>
          <w:sz w:val="22"/>
          <w:szCs w:val="22"/>
        </w:rPr>
        <w:t xml:space="preserve"># HDA:</w:t>
      </w:r>
    </w:p>
    <w:p>
      <w:pPr>
        <w:spacing w:after="60"/>
      </w:pPr>
      <w:r>
        <w:rPr>
          <w:sz w:val="21"/>
          <w:szCs w:val="21"/>
        </w:rPr>
        <w:t xml:space="preserve"/>
      </w:r>
    </w:p>
    <w:p>
      <w:pPr>
        <w:spacing w:after="60" w:before="200"/>
      </w:pPr>
      <w:r>
        <w:rPr>
          <w:b/>
          <w:bCs/>
          <w:color w:val="0A2342"/>
          <w:sz w:val="22"/>
          <w:szCs w:val="22"/>
        </w:rPr>
        <w:t xml:space="preserve"># EXAME FÍSICO:</w:t>
      </w:r>
    </w:p>
    <w:p>
      <w:pPr>
        <w:spacing w:after="60"/>
      </w:pPr>
      <w:r>
        <w:rPr>
          <w:b/>
          <w:bCs/>
          <w:sz w:val="21"/>
          <w:szCs w:val="21"/>
        </w:rPr>
        <w:t xml:space="preserve">Sinais vitais: </w:t>
      </w:r>
      <w:r>
        <w:rPr>
          <w:sz w:val="21"/>
          <w:szCs w:val="21"/>
        </w:rPr>
        <w:t xml:space="preserve">PA: ___x___ mmHg | FC: ___ bpm | FR: ___ irpm | SatO2: ___% | Temp: ___ ºC</w:t>
      </w:r>
    </w:p>
    <w:p>
      <w:pPr>
        <w:spacing w:after="60"/>
      </w:pPr>
      <w:r>
        <w:rPr>
          <w:b/>
          <w:bCs/>
          <w:sz w:val="21"/>
          <w:szCs w:val="21"/>
        </w:rPr>
        <w:t xml:space="preserve">A: </w:t>
      </w:r>
      <w:r>
        <w:rPr>
          <w:sz w:val="21"/>
          <w:szCs w:val="21"/>
        </w:rPr>
        <w:t xml:space="preserve">Via aérea pérvia, sem sinais de perda de patência aparente; sem estridor, sem rouquidão, reflexo de tosse preservado; secreção respiratória habitual.</w:t>
      </w:r>
    </w:p>
    <w:p>
      <w:pPr>
        <w:spacing w:after="60"/>
      </w:pPr>
      <w:r>
        <w:rPr>
          <w:b/>
          <w:bCs/>
          <w:sz w:val="21"/>
          <w:szCs w:val="21"/>
        </w:rPr>
        <w:t xml:space="preserve">B: </w:t>
      </w:r>
      <w:r>
        <w:rPr>
          <w:sz w:val="21"/>
          <w:szCs w:val="21"/>
        </w:rPr>
        <w:t xml:space="preserve">Sem sinais de desconforto respiratório, expansibilidade preservada; MVF+ sem RA, som claro pulmonar à percussão.</w:t>
      </w:r>
    </w:p>
    <w:p>
      <w:pPr>
        <w:spacing w:after="60"/>
      </w:pPr>
      <w:r>
        <w:rPr>
          <w:b/>
          <w:bCs/>
          <w:sz w:val="21"/>
          <w:szCs w:val="21"/>
        </w:rPr>
        <w:t xml:space="preserve">C: </w:t>
      </w:r>
      <w:r>
        <w:rPr>
          <w:sz w:val="21"/>
          <w:szCs w:val="21"/>
        </w:rPr>
        <w:t xml:space="preserve">Sem sinais de disfunção hemodinâmica, TEC &lt; 3s, pulsos periféricos rítmicos, simétricos e cheios, pele quente e seca; sem uso de DVA/vasodilatadores no momento; RCR em 2T sem sopros ou frêmitos. Abdome livre, sem massas ou visceromegalias, sem sinais de irritação peritoneal. Sem edemas de membros e sem sinais de TVP.</w:t>
      </w:r>
    </w:p>
    <w:p>
      <w:pPr>
        <w:spacing w:after="60"/>
      </w:pPr>
      <w:r>
        <w:rPr>
          <w:b/>
          <w:bCs/>
          <w:sz w:val="21"/>
          <w:szCs w:val="21"/>
        </w:rPr>
        <w:t xml:space="preserve">D: </w:t>
      </w:r>
      <w:r>
        <w:rPr>
          <w:sz w:val="21"/>
          <w:szCs w:val="21"/>
        </w:rPr>
        <w:t xml:space="preserve">GCS 15 (O4 / V5 / M6), PIFR; sem uso de sedativos/analgésicos no momento; motricidade e sensibilidade grosseiras preservadas.</w:t>
      </w:r>
    </w:p>
    <w:p>
      <w:pPr>
        <w:spacing w:after="60"/>
      </w:pPr>
      <w:r>
        <w:rPr>
          <w:b/>
          <w:bCs/>
          <w:sz w:val="21"/>
          <w:szCs w:val="21"/>
        </w:rPr>
        <w:t xml:space="preserve">E: </w:t>
      </w:r>
      <w:r>
        <w:rPr>
          <w:sz w:val="21"/>
          <w:szCs w:val="21"/>
        </w:rPr>
        <w:t xml:space="preserve">AVP; sem alterações cutâneas; sem lesões cutâneas por pressão; sem estigmas de trauma/procedimentos cirúrgicos; genitália não avaliada rotineiramente; diurese e eliminações presentes; em jejum no momento.</w:t>
      </w:r>
    </w:p>
    <w:p>
      <w:pPr>
        <w:spacing w:after="100"/>
        <w:ind w:left="120"/>
      </w:pPr>
      <w:r>
        <w:rPr>
          <w:i/>
          <w:iCs/>
          <w:color w:val="555555"/>
          <w:sz w:val="18"/>
          <w:szCs w:val="18"/>
        </w:rPr>
        <w:t xml:space="preserve">Ajustar cada linha conforme os achados reais do paciente — o texto acima é o padrão de normalidade.</w:t>
      </w:r>
    </w:p>
    <w:p>
      <w:pPr>
        <w:spacing w:after="60" w:before="200"/>
      </w:pPr>
      <w:r>
        <w:rPr>
          <w:b/>
          <w:bCs/>
          <w:color w:val="0A2342"/>
          <w:sz w:val="22"/>
          <w:szCs w:val="22"/>
        </w:rPr>
        <w:t xml:space="preserve"># EXAMES COMPLEMENTARES</w:t>
      </w:r>
    </w:p>
    <w:p>
      <w:pPr>
        <w:spacing w:after="60"/>
      </w:pPr>
      <w:r>
        <w:rPr>
          <w:b/>
          <w:bCs/>
          <w:sz w:val="21"/>
          <w:szCs w:val="21"/>
        </w:rPr>
        <w:t xml:space="preserve">- Exames laboratoriais (data __/__): </w:t>
      </w:r>
      <w:r>
        <w:rPr>
          <w:sz w:val="21"/>
          <w:szCs w:val="21"/>
        </w:rPr>
        <w:t xml:space="preserve">hb 12 // ht 30 // leucócitos 15.000 // plaquetas 300.000 // ur 100 // cr 2</w:t>
      </w:r>
    </w:p>
    <w:p>
      <w:pPr>
        <w:spacing w:after="60"/>
      </w:pPr>
      <w:r>
        <w:rPr>
          <w:b/>
          <w:bCs/>
          <w:sz w:val="21"/>
          <w:szCs w:val="21"/>
        </w:rPr>
        <w:t xml:space="preserve">- Exames de imagem: </w:t>
      </w:r>
      <w:r>
        <w:rPr>
          <w:sz w:val="21"/>
          <w:szCs w:val="21"/>
        </w:rPr>
        <w:t xml:space="preserve">TC de tórax – resultado em texto corrido</w:t>
      </w:r>
    </w:p>
    <w:p>
      <w:pPr>
        <w:spacing w:after="60"/>
      </w:pPr>
      <w:r>
        <w:rPr>
          <w:sz w:val="21"/>
          <w:szCs w:val="21"/>
        </w:rPr>
        <w:t xml:space="preserve">   TC de abdome – resultado em texto corrido</w:t>
      </w:r>
    </w:p>
    <w:p>
      <w:pPr>
        <w:spacing w:after="60"/>
      </w:pPr>
      <w:r>
        <w:rPr>
          <w:sz w:val="21"/>
          <w:szCs w:val="21"/>
        </w:rPr>
        <w:t xml:space="preserve">   TC de crânio – resultado em texto corrido</w:t>
      </w:r>
    </w:p>
    <w:p>
      <w:pPr>
        <w:spacing w:after="60"/>
      </w:pPr>
      <w:r>
        <w:rPr>
          <w:b/>
          <w:bCs/>
          <w:sz w:val="21"/>
          <w:szCs w:val="21"/>
        </w:rPr>
        <w:t xml:space="preserve">- ECG: </w:t>
      </w:r>
      <w:r>
        <w:rPr>
          <w:sz w:val="21"/>
          <w:szCs w:val="21"/>
        </w:rPr>
        <w:t xml:space="preserve">resultado em texto corrido</w:t>
      </w:r>
    </w:p>
    <w:p>
      <w:pPr>
        <w:spacing w:after="60" w:before="200"/>
      </w:pPr>
      <w:r>
        <w:rPr>
          <w:b/>
          <w:bCs/>
          <w:color w:val="0A2342"/>
          <w:sz w:val="22"/>
          <w:szCs w:val="22"/>
        </w:rPr>
        <w:t xml:space="preserve"># IMPRESSÃO DIAGNÓSTICA:</w:t>
      </w:r>
    </w:p>
    <w:p>
      <w:pPr>
        <w:spacing w:after="60"/>
      </w:pPr>
      <w:r>
        <w:rPr>
          <w:sz w:val="21"/>
          <w:szCs w:val="21"/>
        </w:rPr>
        <w:t xml:space="preserve">Doença + CID  —  ex.: Pneumonia J15.9 // Asma J45</w:t>
      </w:r>
    </w:p>
    <w:p>
      <w:pPr>
        <w:spacing w:after="60" w:before="200"/>
      </w:pPr>
      <w:r>
        <w:rPr>
          <w:b/>
          <w:bCs/>
          <w:color w:val="0A2342"/>
          <w:sz w:val="22"/>
          <w:szCs w:val="22"/>
        </w:rPr>
        <w:t xml:space="preserve"># CONDUTAS:</w:t>
      </w:r>
    </w:p>
    <w:p>
      <w:pPr>
        <w:spacing w:after="60"/>
      </w:pPr>
      <w:r>
        <w:rPr>
          <w:sz w:val="21"/>
          <w:szCs w:val="21"/>
        </w:rPr>
        <w:t xml:space="preserve">- Solicito internação em ___</w:t>
      </w:r>
    </w:p>
    <w:p>
      <w:pPr>
        <w:spacing w:after="60"/>
      </w:pPr>
      <w:r>
        <w:rPr>
          <w:sz w:val="21"/>
          <w:szCs w:val="21"/>
        </w:rPr>
        <w:t xml:space="preserve">- Início de ___</w:t>
      </w:r>
    </w:p>
    <w:p>
      <w:pPr>
        <w:spacing w:after="60" w:before="200"/>
      </w:pPr>
      <w:r>
        <w:rPr>
          <w:b/>
          <w:bCs/>
          <w:color w:val="0A2342"/>
          <w:sz w:val="22"/>
          <w:szCs w:val="22"/>
        </w:rPr>
        <w:t xml:space="preserve"># JUSTIFICATIVA</w:t>
      </w:r>
    </w:p>
    <w:p>
      <w:pPr>
        <w:spacing w:after="60"/>
      </w:pPr>
      <w:r>
        <w:rPr>
          <w:sz w:val="21"/>
          <w:szCs w:val="21"/>
        </w:rPr>
        <w:t xml:space="preserve">Resumo denso do caso para leitura rápida do auditor: quadro + critério objetivo que sustenta o nível (com os números) + por que não o nível inferior + prioridade (Art. 6, CFM 2.156/2016) se UTI.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55555"/>
        <w:sz w:val="16"/>
        <w:szCs w:val="16"/>
      </w:rPr>
      <w:t xml:space="preserve">Modelo de pedido de internação · Página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55555"/>
        <w:sz w:val="16"/>
        <w:szCs w:val="16"/>
      </w:rPr>
      <w:t xml:space="preserve">Emerg+ · Uso interno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pPr>
      <w:spacing w:after="120" w:before="200"/>
      <w:outlineLvl w:val="0"/>
    </w:pPr>
    <w:rPr>
      <w:rFonts w:ascii="Arial" w:cs="Arial" w:eastAsia="Arial" w:hAnsi="Arial"/>
      <w:b/>
      <w:bCs/>
      <w:color w:val="0A2342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2026-07-09T18:53:32.908Z</dcterms:created>
  <dcterms:modified xsi:type="dcterms:W3CDTF">2026-07-09T18:53:32.913Z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